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4"/>
          <w:szCs w:val="34"/>
          <w:rtl w:val="0"/>
        </w:rPr>
        <w:t xml:space="preserve">Awards at HABSMUN</w:t>
      </w:r>
      <w:r w:rsidDel="00000000" w:rsidR="00000000" w:rsidRPr="00000000">
        <w:rPr>
          <w:rtl w:val="0"/>
        </w:rPr>
      </w:r>
    </w:p>
    <w:p w:rsidR="00000000" w:rsidDel="00000000" w:rsidP="00000000" w:rsidRDefault="00000000" w:rsidRPr="00000000" w14:paraId="00000003">
      <w:pPr>
        <w:spacing w:line="360" w:lineRule="auto"/>
        <w:jc w:val="left"/>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sz w:val="30"/>
          <w:szCs w:val="30"/>
          <w:rtl w:val="0"/>
        </w:rPr>
        <w:t xml:space="preserve">Delegate Awards</w:t>
      </w:r>
    </w:p>
    <w:p w:rsidR="00000000" w:rsidDel="00000000" w:rsidP="00000000" w:rsidRDefault="00000000" w:rsidRPr="00000000" w14:paraId="00000004">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Delegates at HABSMUN will be eligible for awards on the basis of their performance in committees. The following award categories will be used:</w:t>
      </w:r>
    </w:p>
    <w:p w:rsidR="00000000" w:rsidDel="00000000" w:rsidP="00000000" w:rsidRDefault="00000000" w:rsidRPr="00000000" w14:paraId="00000005">
      <w:pPr>
        <w:numPr>
          <w:ilvl w:val="0"/>
          <w:numId w:val="1"/>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Best Delegate</w:t>
      </w:r>
    </w:p>
    <w:p w:rsidR="00000000" w:rsidDel="00000000" w:rsidP="00000000" w:rsidRDefault="00000000" w:rsidRPr="00000000" w14:paraId="00000006">
      <w:pPr>
        <w:numPr>
          <w:ilvl w:val="0"/>
          <w:numId w:val="1"/>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Distinguished Delegate</w:t>
      </w:r>
    </w:p>
    <w:p w:rsidR="00000000" w:rsidDel="00000000" w:rsidP="00000000" w:rsidRDefault="00000000" w:rsidRPr="00000000" w14:paraId="00000007">
      <w:pPr>
        <w:numPr>
          <w:ilvl w:val="0"/>
          <w:numId w:val="1"/>
        </w:numPr>
        <w:spacing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Highly Commended Delegate</w:t>
      </w:r>
    </w:p>
    <w:p w:rsidR="00000000" w:rsidDel="00000000" w:rsidP="00000000" w:rsidRDefault="00000000" w:rsidRPr="00000000" w14:paraId="00000008">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Committee Chairs will be using the following criteria to decide the allocation of delegate awards.</w:t>
      </w:r>
    </w:p>
    <w:p w:rsidR="00000000" w:rsidDel="00000000" w:rsidP="00000000" w:rsidRDefault="00000000" w:rsidRPr="00000000" w14:paraId="00000009">
      <w:pPr>
        <w:spacing w:line="36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Effectiveness in debate</w:t>
      </w:r>
    </w:p>
    <w:p w:rsidR="00000000" w:rsidDel="00000000" w:rsidP="00000000" w:rsidRDefault="00000000" w:rsidRPr="00000000" w14:paraId="0000000B">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Outstanding delegates will employ a number of different devices to be effective in their speeches and points of information. Knowledge of the issues, innovative methods of solving problems, rhetorical and persuasive speech-making and the ability to respond well to the comments and points made by other delegates will all provide evidence of debating skill.</w:t>
      </w:r>
    </w:p>
    <w:p w:rsidR="00000000" w:rsidDel="00000000" w:rsidP="00000000" w:rsidRDefault="00000000" w:rsidRPr="00000000" w14:paraId="0000000C">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D">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Accurate representation of the country’s policies</w:t>
      </w:r>
    </w:p>
    <w:p w:rsidR="00000000" w:rsidDel="00000000" w:rsidP="00000000" w:rsidRDefault="00000000" w:rsidRPr="00000000" w14:paraId="0000000E">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Delegates should research the policy position of the country that they are representing on all the topics being discussed in committee. A broad understanding of their country’s history, international relations and so forth will also serve to strengthen a delegate’s ability to represent their country accurately.</w:t>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0">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Negotiation and consensus-building skills</w:t>
      </w:r>
    </w:p>
    <w:p w:rsidR="00000000" w:rsidDel="00000000" w:rsidP="00000000" w:rsidRDefault="00000000" w:rsidRPr="00000000" w14:paraId="00000011">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Part of the idea behind MUN is to encourage delegates to develop skills in communicating with others, being persuasive and, ultimately, building collaborative solutions to global problems. Outstanding delegates will show their capabilities in this respect during both lobbying and debate.</w:t>
      </w:r>
    </w:p>
    <w:p w:rsidR="00000000" w:rsidDel="00000000" w:rsidP="00000000" w:rsidRDefault="00000000" w:rsidRPr="00000000" w14:paraId="00000012">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3">
      <w:pPr>
        <w:spacing w:line="360"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4">
      <w:pPr>
        <w:spacing w:line="360"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5">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Adherence to parliamentary procedure</w:t>
      </w:r>
    </w:p>
    <w:p w:rsidR="00000000" w:rsidDel="00000000" w:rsidP="00000000" w:rsidRDefault="00000000" w:rsidRPr="00000000" w14:paraId="0000001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 criterion that will form part of the decision for the allocation of awards is the extent to which delegates conduct themselves in a manner suited to Model United Nations debate. This will include a reasonable understanding of the rules of procedure, attendance and generally good behaviour.</w:t>
      </w:r>
    </w:p>
    <w:p w:rsidR="00000000" w:rsidDel="00000000" w:rsidP="00000000" w:rsidRDefault="00000000" w:rsidRPr="00000000" w14:paraId="00000017">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8">
      <w:pPr>
        <w:spacing w:line="360" w:lineRule="auto"/>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sz w:val="30"/>
          <w:szCs w:val="30"/>
          <w:rtl w:val="0"/>
        </w:rPr>
        <w:t xml:space="preserve">Delegation Awards</w:t>
      </w:r>
    </w:p>
    <w:p w:rsidR="00000000" w:rsidDel="00000000" w:rsidP="00000000" w:rsidRDefault="00000000" w:rsidRPr="00000000" w14:paraId="00000019">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Secretaries-General will also be presenting awards to delegations as a whole that perform exceptionally well, with the categories being:</w:t>
      </w:r>
    </w:p>
    <w:p w:rsidR="00000000" w:rsidDel="00000000" w:rsidP="00000000" w:rsidRDefault="00000000" w:rsidRPr="00000000" w14:paraId="0000001A">
      <w:pPr>
        <w:numPr>
          <w:ilvl w:val="0"/>
          <w:numId w:val="2"/>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Best Delegation</w:t>
      </w:r>
    </w:p>
    <w:p w:rsidR="00000000" w:rsidDel="00000000" w:rsidP="00000000" w:rsidRDefault="00000000" w:rsidRPr="00000000" w14:paraId="0000001B">
      <w:pPr>
        <w:numPr>
          <w:ilvl w:val="0"/>
          <w:numId w:val="2"/>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Distinguished Delegation</w:t>
      </w:r>
    </w:p>
    <w:p w:rsidR="00000000" w:rsidDel="00000000" w:rsidP="00000000" w:rsidRDefault="00000000" w:rsidRPr="00000000" w14:paraId="0000001C">
      <w:pPr>
        <w:numPr>
          <w:ilvl w:val="0"/>
          <w:numId w:val="2"/>
        </w:numPr>
        <w:spacing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Highly Commended Delegation</w:t>
      </w:r>
    </w:p>
    <w:p w:rsidR="00000000" w:rsidDel="00000000" w:rsidP="00000000" w:rsidRDefault="00000000" w:rsidRPr="00000000" w14:paraId="0000001D">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allocation of delegation awards will be based on:</w:t>
      </w:r>
    </w:p>
    <w:p w:rsidR="00000000" w:rsidDel="00000000" w:rsidP="00000000" w:rsidRDefault="00000000" w:rsidRPr="00000000" w14:paraId="0000001E">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F">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Performance in committees</w:t>
      </w:r>
    </w:p>
    <w:p w:rsidR="00000000" w:rsidDel="00000000" w:rsidP="00000000" w:rsidRDefault="00000000" w:rsidRPr="00000000" w14:paraId="00000020">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performance of members of the delegation in their respective committees (according to the above criteria) will be considered. Delegate awards will form a good indication of delegates’ effectiveness in this respect.</w:t>
      </w:r>
    </w:p>
    <w:p w:rsidR="00000000" w:rsidDel="00000000" w:rsidP="00000000" w:rsidRDefault="00000000" w:rsidRPr="00000000" w14:paraId="00000021">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22">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Performance in the General Assembly</w:t>
      </w:r>
    </w:p>
    <w:p w:rsidR="00000000" w:rsidDel="00000000" w:rsidP="00000000" w:rsidRDefault="00000000" w:rsidRPr="00000000" w14:paraId="00000023">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As well as being outstanding in committee, delegates will have to co-operate as a delegation when representing their country in the General Assembly. In addition to the above criteria for delegates, submitting successful resolutions or amendments will be an indicator of an exceptional delegation.</w:t>
      </w:r>
    </w:p>
    <w:p w:rsidR="00000000" w:rsidDel="00000000" w:rsidP="00000000" w:rsidRDefault="00000000" w:rsidRPr="00000000" w14:paraId="00000024">
      <w:pPr>
        <w:spacing w:line="360" w:lineRule="auto"/>
        <w:jc w:val="left"/>
        <w:rPr>
          <w:rFonts w:ascii="Helvetica Neue" w:cs="Helvetica Neue" w:eastAsia="Helvetica Neue" w:hAnsi="Helvetica Neue"/>
          <w:sz w:val="34"/>
          <w:szCs w:val="34"/>
        </w:rPr>
      </w:pPr>
      <w:r w:rsidDel="00000000" w:rsidR="00000000" w:rsidRPr="00000000">
        <w:rPr>
          <w:rtl w:val="0"/>
        </w:rPr>
      </w:r>
    </w:p>
    <w:sectPr>
      <w:headerReference r:id="rId7"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96188" cy="742950"/>
              <wp:effectExtent b="0" l="0" r="0" t="0"/>
              <wp:wrapNone/>
              <wp:docPr id="21" name=""/>
              <a:graphic>
                <a:graphicData uri="http://schemas.microsoft.com/office/word/2010/wordprocessingGroup">
                  <wpg:wgp>
                    <wpg:cNvGrpSpPr/>
                    <wpg:grpSpPr>
                      <a:xfrm>
                        <a:off x="1562425" y="3407725"/>
                        <a:ext cx="7596188" cy="742950"/>
                        <a:chOff x="1562425" y="3407725"/>
                        <a:chExt cx="7567150" cy="744550"/>
                      </a:xfrm>
                    </wpg:grpSpPr>
                    <wpg:grpSp>
                      <wpg:cNvGrpSpPr/>
                      <wpg:grpSpPr>
                        <a:xfrm>
                          <a:off x="1562442" y="3407793"/>
                          <a:ext cx="7567117" cy="744415"/>
                          <a:chOff x="1557675" y="3403025"/>
                          <a:chExt cx="7576650" cy="753950"/>
                        </a:xfrm>
                      </wpg:grpSpPr>
                      <wps:wsp>
                        <wps:cNvSpPr/>
                        <wps:cNvPr id="3" name="Shape 3"/>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5" name="Shape 5"/>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96188" cy="742950"/>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96188"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t83YIMC/DvhsYamda4Tgws4/A==">CgMxLjA4AHIhMUVOYXJVRk1CX01QNkY1eExqSVIySGhrTHpqZ2s5SXEy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