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34"/>
          <w:szCs w:val="34"/>
          <w:rtl w:val="0"/>
        </w:rPr>
        <w:t xml:space="preserve">Dress Code &amp; Behaviour Guide</w:t>
      </w:r>
      <w:r w:rsidDel="00000000" w:rsidR="00000000" w:rsidRPr="00000000">
        <w:rPr>
          <w:rtl w:val="0"/>
        </w:rPr>
      </w:r>
    </w:p>
    <w:p w:rsidR="00000000" w:rsidDel="00000000" w:rsidP="00000000" w:rsidRDefault="00000000" w:rsidRPr="00000000" w14:paraId="00000003">
      <w:pPr>
        <w:spacing w:line="36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0"/>
          <w:szCs w:val="30"/>
          <w:rtl w:val="0"/>
        </w:rPr>
        <w:t xml:space="preserve">Dress Code</w:t>
      </w:r>
      <w:r w:rsidDel="00000000" w:rsidR="00000000" w:rsidRPr="00000000">
        <w:rPr>
          <w:rtl w:val="0"/>
        </w:rPr>
      </w:r>
    </w:p>
    <w:p w:rsidR="00000000" w:rsidDel="00000000" w:rsidP="00000000" w:rsidRDefault="00000000" w:rsidRPr="00000000" w14:paraId="00000004">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HabsMUN is a simulation of the United Nations and, as such, requires formal dress. Delegates will not be allowed to take the floor in military costume, national dress or inappropriate outfits. Delegates can choose between:</w:t>
      </w:r>
    </w:p>
    <w:p w:rsidR="00000000" w:rsidDel="00000000" w:rsidP="00000000" w:rsidRDefault="00000000" w:rsidRPr="00000000" w14:paraId="00000005">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 Suits, or Blazers and smart trousers</w:t>
      </w:r>
    </w:p>
    <w:p w:rsidR="00000000" w:rsidDel="00000000" w:rsidP="00000000" w:rsidRDefault="00000000" w:rsidRPr="00000000" w14:paraId="00000006">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 Shirts</w:t>
      </w:r>
    </w:p>
    <w:p w:rsidR="00000000" w:rsidDel="00000000" w:rsidP="00000000" w:rsidRDefault="00000000" w:rsidRPr="00000000" w14:paraId="00000007">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 Ties</w:t>
      </w:r>
    </w:p>
    <w:p w:rsidR="00000000" w:rsidDel="00000000" w:rsidP="00000000" w:rsidRDefault="00000000" w:rsidRPr="00000000" w14:paraId="00000008">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 Smart shoes</w:t>
      </w:r>
    </w:p>
    <w:p w:rsidR="00000000" w:rsidDel="00000000" w:rsidP="00000000" w:rsidRDefault="00000000" w:rsidRPr="00000000" w14:paraId="00000009">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OR</w:t>
      </w:r>
    </w:p>
    <w:p w:rsidR="00000000" w:rsidDel="00000000" w:rsidP="00000000" w:rsidRDefault="00000000" w:rsidRPr="00000000" w14:paraId="0000000A">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 Trouser/skirt suits, or dresses (these must not be too short)</w:t>
      </w:r>
    </w:p>
    <w:p w:rsidR="00000000" w:rsidDel="00000000" w:rsidP="00000000" w:rsidRDefault="00000000" w:rsidRPr="00000000" w14:paraId="0000000B">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 Smart blouses or shirts</w:t>
      </w:r>
    </w:p>
    <w:p w:rsidR="00000000" w:rsidDel="00000000" w:rsidP="00000000" w:rsidRDefault="00000000" w:rsidRPr="00000000" w14:paraId="0000000C">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 Smart shoes</w:t>
      </w:r>
    </w:p>
    <w:p w:rsidR="00000000" w:rsidDel="00000000" w:rsidP="00000000" w:rsidRDefault="00000000" w:rsidRPr="00000000" w14:paraId="0000000D">
      <w:pPr>
        <w:spacing w:line="360" w:lineRule="auto"/>
        <w:ind w:left="0" w:firstLine="0"/>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E">
      <w:pPr>
        <w:spacing w:line="360" w:lineRule="auto"/>
        <w:rPr>
          <w:rFonts w:ascii="Helvetica Neue Light" w:cs="Helvetica Neue Light" w:eastAsia="Helvetica Neue Light" w:hAnsi="Helvetica Neue Light"/>
          <w:sz w:val="24"/>
          <w:szCs w:val="24"/>
        </w:rPr>
      </w:pPr>
      <w:r w:rsidDel="00000000" w:rsidR="00000000" w:rsidRPr="00000000">
        <w:rPr>
          <w:rFonts w:ascii="Helvetica Neue" w:cs="Helvetica Neue" w:eastAsia="Helvetica Neue" w:hAnsi="Helvetica Neue"/>
          <w:sz w:val="30"/>
          <w:szCs w:val="30"/>
          <w:rtl w:val="0"/>
        </w:rPr>
        <w:t xml:space="preserve">Behaviour Guide</w:t>
      </w:r>
      <w:r w:rsidDel="00000000" w:rsidR="00000000" w:rsidRPr="00000000">
        <w:rPr>
          <w:rtl w:val="0"/>
        </w:rPr>
      </w:r>
    </w:p>
    <w:p w:rsidR="00000000" w:rsidDel="00000000" w:rsidP="00000000" w:rsidRDefault="00000000" w:rsidRPr="00000000" w14:paraId="0000000F">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Delegates must follow debate procedure at all times, and behave in a manner befitting the spirit of the United Nations, as laid out in Chapter 1 of the United Nations Charter. Addressing the General Assembly is to be considered a privilege and honour and, as such, any offensive speech-making is prohibited. Whilst humour is encouraged, it must be kept relevant and appropriate.</w:t>
      </w:r>
    </w:p>
    <w:p w:rsidR="00000000" w:rsidDel="00000000" w:rsidP="00000000" w:rsidRDefault="00000000" w:rsidRPr="00000000" w14:paraId="00000010">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Respect must be shown at all times to members of the Secretariat, Chairs, Security and fellow delegates. Any disrespectful behaviour to these individuals will be deemed as inappropriate behaviour, and appropriate sanctions will be taken (see below). Racism and intolerant or abusive language will not be tolerated. This includes during debate (i.e. in points of information and speeches), but also around the Habs campus during the conference.</w:t>
      </w:r>
    </w:p>
    <w:p w:rsidR="00000000" w:rsidDel="00000000" w:rsidP="00000000" w:rsidRDefault="00000000" w:rsidRPr="00000000" w14:paraId="00000011">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2">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3">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4">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5">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Delegates are reminded that there is to be no smoking, consumption of alcohol, or possession of alcohol on the school campus. Delegates are also reminded that the wooded areas are out of bounds, while grassed areas are sacrosanct.</w:t>
      </w:r>
    </w:p>
    <w:p w:rsidR="00000000" w:rsidDel="00000000" w:rsidP="00000000" w:rsidRDefault="00000000" w:rsidRPr="00000000" w14:paraId="00000016">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Please keep to the designated conference rooms, as other school buildings and rooms are out of bounds. Any acts of vandalism or theft will have severe consequences; kindly respect the provided facilities.</w:t>
      </w:r>
    </w:p>
    <w:p w:rsidR="00000000" w:rsidDel="00000000" w:rsidP="00000000" w:rsidRDefault="00000000" w:rsidRPr="00000000" w14:paraId="00000017">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school regrets that it can accept no responsibility for loss, theft or damage to personal property, including damage to any vehicles driven or parked on the campus. We ask that all participants follow and stick to the parking directions of our grounds staff. Inappropriate behaviour will result in warnings and, depending on the severity, temporary or permanent exclusion from committee at the discretion of the Chairs, as well as consideration for awards, and possible exclusion from the conference, at the discretion of the Presidents of the General Assembly, the Secretaries-General, and the conference director.</w:t>
      </w:r>
    </w:p>
    <w:p w:rsidR="00000000" w:rsidDel="00000000" w:rsidP="00000000" w:rsidRDefault="00000000" w:rsidRPr="00000000" w14:paraId="00000018">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In the event of an alarm, the assembly point will be on the astroturfs (see map in welcome booklet).</w:t>
      </w:r>
    </w:p>
    <w:p w:rsidR="00000000" w:rsidDel="00000000" w:rsidP="00000000" w:rsidRDefault="00000000" w:rsidRPr="00000000" w14:paraId="00000019">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In the event of a medical emergency, the school nurse can be contacted by any Head Chair, or staff member with a walkie talkie.</w:t>
      </w:r>
    </w:p>
    <w:p w:rsidR="00000000" w:rsidDel="00000000" w:rsidP="00000000" w:rsidRDefault="00000000" w:rsidRPr="00000000" w14:paraId="0000001A">
      <w:pPr>
        <w:spacing w:line="360" w:lineRule="auto"/>
        <w:rPr>
          <w:rFonts w:ascii="Playfair Display" w:cs="Playfair Display" w:eastAsia="Playfair Display" w:hAnsi="Playfair Display"/>
          <w:sz w:val="24"/>
          <w:szCs w:val="24"/>
        </w:rPr>
      </w:pPr>
      <w:r w:rsidDel="00000000" w:rsidR="00000000" w:rsidRPr="00000000">
        <w:rPr>
          <w:rFonts w:ascii="Helvetica Neue Light" w:cs="Helvetica Neue Light" w:eastAsia="Helvetica Neue Light" w:hAnsi="Helvetica Neue Light"/>
          <w:sz w:val="24"/>
          <w:szCs w:val="24"/>
          <w:rtl w:val="0"/>
        </w:rPr>
        <w:t xml:space="preserve">In the event of other urgent queries requiring immediate advice, the Secretaries-General and Conference Director can be contacted via any Head Chair, or HABSMUN staff member with a walkie-talkie.</w:t>
      </w:r>
      <w:r w:rsidDel="00000000" w:rsidR="00000000" w:rsidRPr="00000000">
        <w:rPr>
          <w:rtl w:val="0"/>
        </w:rPr>
      </w:r>
    </w:p>
    <w:sectPr>
      <w:headerReference r:id="rId7" w:type="default"/>
      <w:pgSz w:h="16838" w:w="11906" w:orient="portrait"/>
      <w:pgMar w:bottom="720" w:top="720" w:left="720" w:right="72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Playfair Display">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Helvetica Neue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86663" cy="742950"/>
              <wp:effectExtent b="0" l="0" r="0" t="0"/>
              <wp:wrapNone/>
              <wp:docPr id="21" name=""/>
              <a:graphic>
                <a:graphicData uri="http://schemas.microsoft.com/office/word/2010/wordprocessingGroup">
                  <wpg:wgp>
                    <wpg:cNvGrpSpPr/>
                    <wpg:grpSpPr>
                      <a:xfrm>
                        <a:off x="1562425" y="3407725"/>
                        <a:ext cx="7586663" cy="742950"/>
                        <a:chOff x="1562425" y="3407725"/>
                        <a:chExt cx="7567150" cy="744550"/>
                      </a:xfrm>
                    </wpg:grpSpPr>
                    <wpg:grpSp>
                      <wpg:cNvGrpSpPr/>
                      <wpg:grpSpPr>
                        <a:xfrm>
                          <a:off x="1562442" y="3407793"/>
                          <a:ext cx="7567117" cy="744415"/>
                          <a:chOff x="1557675" y="3403025"/>
                          <a:chExt cx="7576650" cy="753950"/>
                        </a:xfrm>
                      </wpg:grpSpPr>
                      <wps:wsp>
                        <wps:cNvSpPr/>
                        <wps:cNvPr id="3" name="Shape 3"/>
                        <wps:spPr>
                          <a:xfrm>
                            <a:off x="1557675" y="3403025"/>
                            <a:ext cx="7576650" cy="75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0" y="0"/>
                            <a:chExt cx="6858000" cy="676656"/>
                          </a:xfrm>
                        </wpg:grpSpPr>
                        <wps:wsp>
                          <wps:cNvSpPr/>
                          <wps:cNvPr id="5" name="Shape 5"/>
                          <wps:spPr>
                            <a:xfrm>
                              <a:off x="0" y="0"/>
                              <a:ext cx="6858000" cy="67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858000" cy="676656"/>
                            </a:xfrm>
                            <a:prstGeom prst="rect">
                              <a:avLst/>
                            </a:prstGeom>
                            <a:solidFill>
                              <a:srgbClr val="002855"/>
                            </a:solidFill>
                            <a:ln cap="flat" cmpd="sng" w="9525">
                              <a:solidFill>
                                <a:srgbClr val="00285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3119120" y="103263"/>
                              <a:ext cx="619760" cy="470129"/>
                            </a:xfrm>
                            <a:prstGeom prst="rect">
                              <a:avLst/>
                            </a:prstGeom>
                            <a:noFill/>
                            <a:ln>
                              <a:noFill/>
                            </a:ln>
                          </pic:spPr>
                        </pic:pic>
                        <wpg:grpSp>
                          <wpg:cNvGrpSpPr/>
                          <wpg:grpSpPr>
                            <a:xfrm>
                              <a:off x="3937001" y="313231"/>
                              <a:ext cx="2726968" cy="54000"/>
                              <a:chOff x="3937001" y="313231"/>
                              <a:chExt cx="2726968" cy="54000"/>
                            </a:xfrm>
                          </wpg:grpSpPr>
                          <wps:wsp>
                            <wps:cNvCnPr/>
                            <wps:spPr>
                              <a:xfrm rot="10800000">
                                <a:off x="393700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660996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flipH="1">
                              <a:off x="194031" y="313231"/>
                              <a:ext cx="2726968" cy="54000"/>
                              <a:chOff x="194031" y="313231"/>
                              <a:chExt cx="2726968" cy="54000"/>
                            </a:xfrm>
                          </wpg:grpSpPr>
                          <wps:wsp>
                            <wps:cNvCnPr/>
                            <wps:spPr>
                              <a:xfrm rot="10800000">
                                <a:off x="19403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a:off x="286699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86663" cy="742950"/>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86663" cy="7429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7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7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7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7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7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711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711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711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711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7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7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7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7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7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7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7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7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7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471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47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4711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47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711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7114"/>
    <w:rPr>
      <w:i w:val="1"/>
      <w:iCs w:val="1"/>
      <w:color w:val="404040" w:themeColor="text1" w:themeTint="0000BF"/>
    </w:rPr>
  </w:style>
  <w:style w:type="paragraph" w:styleId="ListParagraph">
    <w:name w:val="List Paragraph"/>
    <w:basedOn w:val="Normal"/>
    <w:uiPriority w:val="34"/>
    <w:qFormat w:val="1"/>
    <w:rsid w:val="00847114"/>
    <w:pPr>
      <w:ind w:left="720"/>
      <w:contextualSpacing w:val="1"/>
    </w:pPr>
  </w:style>
  <w:style w:type="character" w:styleId="IntenseEmphasis">
    <w:name w:val="Intense Emphasis"/>
    <w:basedOn w:val="DefaultParagraphFont"/>
    <w:uiPriority w:val="21"/>
    <w:qFormat w:val="1"/>
    <w:rsid w:val="00847114"/>
    <w:rPr>
      <w:i w:val="1"/>
      <w:iCs w:val="1"/>
      <w:color w:val="0f4761" w:themeColor="accent1" w:themeShade="0000BF"/>
    </w:rPr>
  </w:style>
  <w:style w:type="paragraph" w:styleId="IntenseQuote">
    <w:name w:val="Intense Quote"/>
    <w:basedOn w:val="Normal"/>
    <w:next w:val="Normal"/>
    <w:link w:val="IntenseQuoteChar"/>
    <w:uiPriority w:val="30"/>
    <w:qFormat w:val="1"/>
    <w:rsid w:val="00847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7114"/>
    <w:rPr>
      <w:i w:val="1"/>
      <w:iCs w:val="1"/>
      <w:color w:val="0f4761" w:themeColor="accent1" w:themeShade="0000BF"/>
    </w:rPr>
  </w:style>
  <w:style w:type="character" w:styleId="IntenseReference">
    <w:name w:val="Intense Reference"/>
    <w:basedOn w:val="DefaultParagraphFont"/>
    <w:uiPriority w:val="32"/>
    <w:qFormat w:val="1"/>
    <w:rsid w:val="00847114"/>
    <w:rPr>
      <w:b w:val="1"/>
      <w:bCs w:val="1"/>
      <w:smallCaps w:val="1"/>
      <w:color w:val="0f4761" w:themeColor="accent1" w:themeShade="0000BF"/>
      <w:spacing w:val="5"/>
    </w:rPr>
  </w:style>
  <w:style w:type="paragraph" w:styleId="Header">
    <w:name w:val="header"/>
    <w:basedOn w:val="Normal"/>
    <w:link w:val="HeaderChar"/>
    <w:uiPriority w:val="99"/>
    <w:unhideWhenUsed w:val="1"/>
    <w:rsid w:val="008471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7114"/>
  </w:style>
  <w:style w:type="paragraph" w:styleId="Footer">
    <w:name w:val="footer"/>
    <w:basedOn w:val="Normal"/>
    <w:link w:val="FooterChar"/>
    <w:uiPriority w:val="99"/>
    <w:unhideWhenUsed w:val="1"/>
    <w:rsid w:val="008471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711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HelveticaNeueLight-regular.ttf"/><Relationship Id="rId10" Type="http://schemas.openxmlformats.org/officeDocument/2006/relationships/font" Target="fonts/HelveticaNeue-boldItalic.ttf"/><Relationship Id="rId13" Type="http://schemas.openxmlformats.org/officeDocument/2006/relationships/font" Target="fonts/HelveticaNeueLight-italic.ttf"/><Relationship Id="rId12" Type="http://schemas.openxmlformats.org/officeDocument/2006/relationships/font" Target="fonts/HelveticaNeueLight-bold.ttf"/><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layfairDisplay-regular.ttf"/><Relationship Id="rId4" Type="http://schemas.openxmlformats.org/officeDocument/2006/relationships/font" Target="fonts/PlayfairDisplay-bold.ttf"/><Relationship Id="rId9" Type="http://schemas.openxmlformats.org/officeDocument/2006/relationships/font" Target="fonts/HelveticaNeue-italic.ttf"/><Relationship Id="rId14" Type="http://schemas.openxmlformats.org/officeDocument/2006/relationships/font" Target="fonts/HelveticaNeueLight-boldItalic.ttf"/><Relationship Id="rId5" Type="http://schemas.openxmlformats.org/officeDocument/2006/relationships/font" Target="fonts/PlayfairDisplay-italic.ttf"/><Relationship Id="rId6" Type="http://schemas.openxmlformats.org/officeDocument/2006/relationships/font" Target="fonts/PlayfairDisplay-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66yr2Srr3ri3hhtGYuYZ2IUHA==">CgMxLjA4AHIhMXZxUlg5Ymh1T3k5U2NlT3A5aUVuNl9remhhdDBhNllE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2024-10-26T20:56:00Z</dcterms:created>
  <dc:creator>Devarshi Mandal (dmandal205041 - SFJ3)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0x010100ADB40B9C5D12A444AF6CBAE01341A135</vt:lpwstr>
  </property>
</Properties>
</file>