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3DDCF48" wp14:paraId="394E83B1" wp14:textId="6DD74CED">
      <w:pPr>
        <w:pStyle w:val="Heading1"/>
        <w:keepNext w:val="1"/>
        <w:keepLines w:val="1"/>
        <w:spacing w:before="322" w:beforeAutospacing="off" w:after="322" w:afterAutospacing="off"/>
        <w:rPr>
          <w:rFonts w:ascii="Times New Roman" w:hAnsi="Times New Roman" w:eastAsia="Times New Roman" w:cs="Times New Roman"/>
          <w:b w:val="0"/>
          <w:bCs w:val="0"/>
          <w:i w:val="0"/>
          <w:iCs w:val="0"/>
          <w:caps w:val="0"/>
          <w:smallCaps w:val="0"/>
          <w:noProof w:val="0"/>
          <w:color w:val="auto"/>
          <w:sz w:val="48"/>
          <w:szCs w:val="48"/>
          <w:lang w:val="en-US"/>
        </w:rPr>
      </w:pPr>
      <w:r w:rsidRPr="73DDCF48" w:rsidR="06E90291">
        <w:rPr>
          <w:rFonts w:ascii="Times New Roman" w:hAnsi="Times New Roman" w:eastAsia="Times New Roman" w:cs="Times New Roman"/>
          <w:b w:val="0"/>
          <w:bCs w:val="0"/>
          <w:i w:val="0"/>
          <w:iCs w:val="0"/>
          <w:caps w:val="0"/>
          <w:smallCaps w:val="0"/>
          <w:noProof w:val="0"/>
          <w:color w:val="auto"/>
          <w:sz w:val="48"/>
          <w:szCs w:val="48"/>
          <w:lang w:val="en-US"/>
        </w:rPr>
        <w:t>The Question of Strengthening Global Access to Education</w:t>
      </w:r>
    </w:p>
    <w:p w:rsidR="019D161C" w:rsidP="58EA9849" w:rsidRDefault="019D161C" w14:paraId="232857EB" w14:textId="7B473114">
      <w:pPr>
        <w:pStyle w:val="Heading3"/>
        <w:keepNext w:val="1"/>
        <w:keepLines w:val="1"/>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Summary:</w:t>
      </w:r>
    </w:p>
    <w:p w:rsidR="019D161C" w:rsidP="58EA9849" w:rsidRDefault="019D161C" w14:paraId="79F4D584" w14:textId="79F5CAEF">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Despite significant progress in recent decades, approximately 258 million children and youth remain out of school globally, with millions more receiving inadequate education. This educational exclusion creates profound disparities in economic opportunities, social mobility, and civic participation. This briefing paper examines the critical challenges and potential solutions for strengthening global access to education as a fundamental driver of human development and social equity. The document explores infrastructure development, economic barriers, quality considerations, and policy frameworks necessary to achieve universal educational access. It emphasizes the need for coordinated international action across public and private sectors to ensure that quality education becomes truly accessible to all, regardless of geography, socioeconomic status, gender, or other potential barriers.</w:t>
      </w:r>
    </w:p>
    <w:p w:rsidR="019D161C" w:rsidP="58EA9849" w:rsidRDefault="019D161C" w14:paraId="37629780" w14:textId="7BD0096C">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Key Terms and Definitions:</w:t>
      </w:r>
    </w:p>
    <w:p w:rsidR="019D161C" w:rsidP="58EA9849" w:rsidRDefault="019D161C" w14:paraId="47500845" w14:textId="0ABD0563">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Access encompasses the ability to participate fully in learning opportunities through reliable school infrastructure, appropriate learning materials, and qualified teachers. This includes both physical access to educational institutions and the ability to engage meaningfully with curriculum.</w:t>
      </w:r>
    </w:p>
    <w:p w:rsidR="019D161C" w:rsidP="58EA9849" w:rsidRDefault="019D161C" w14:paraId="4B521DAC" w14:textId="23D1BEC3">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Equity refers to the fair distribution of educational resources, opportunities, and outcomes across all segments of society, requiring systems that provide additional support to disadvantaged populations to overcome structural barriers.</w:t>
      </w:r>
    </w:p>
    <w:p w:rsidR="019D161C" w:rsidP="58EA9849" w:rsidRDefault="019D161C" w14:paraId="2CEBB6AA" w14:textId="6B2B55E9">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Quality Education represents learning experiences that develop relevant knowledge, skills, and values needed for personal development, employment, and civic participation. This includes both foundational skills in literacy and numeracy and higher-order competencies like critical thinking.</w:t>
      </w:r>
    </w:p>
    <w:p w:rsidR="019D161C" w:rsidP="58EA9849" w:rsidRDefault="019D161C" w14:paraId="1D3F8AF2" w14:textId="5C4761B9">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Inclusion describes the process of ensuring all individuals and communities can access and benefit from educational opportunities, regardless of socioeconomic status, geographic location, gender, disability, or other potential barriers. This concept emphasizes both access and meaningful participation.</w:t>
      </w:r>
    </w:p>
    <w:p w:rsidR="019D161C" w:rsidP="58EA9849" w:rsidRDefault="019D161C" w14:paraId="68DCB35E" w14:textId="7023FF84">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Introduction and Historical Context:</w:t>
      </w:r>
    </w:p>
    <w:p w:rsidR="019D161C" w:rsidP="58EA9849" w:rsidRDefault="019D161C" w14:paraId="516396B8" w14:textId="76755497">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 concept of education as a human right has evolved from traditional frameworks, particularly the Universal Declaration of Human Rights (1948), which established education as a fundamental right in Article 26. Subsequent international agreements have strengthened this framework, with the UNESCO Convention against Discrimination in Education (1960) and the International Covenant on Economic, Social and Cultural Rights (1966) expanding protection for educational rights.</w:t>
      </w:r>
    </w:p>
    <w:p w:rsidR="019D161C" w:rsidP="58EA9849" w:rsidRDefault="019D161C" w14:paraId="08EBE36F" w14:textId="48D63CB3">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 Education for All initiative (1990) marked a significant milestone by establishing global targets for universal primary education, while the Millennium Development Goals (2000) further prioritized educational access. The adoption of the Sustainable Development Goals in 2015 represented a comprehensive expansion of the global education agenda through SDG 4, which calls for "inclusive and equitable quality education and lifelong learning opportunities for all."</w:t>
      </w:r>
    </w:p>
    <w:p w:rsidR="019D161C" w:rsidP="58EA9849" w:rsidRDefault="019D161C" w14:paraId="6ADE8399" w14:textId="314D45EE">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These frameworks reflect an evolving understanding of education not merely as academic instruction but as a comprehensive right encompassing accessibility, quality, inclusion, and lifelong learning opportunities. Despite these commitments, significant gaps remain between global aspirations and educational realities in many regions.</w:t>
      </w:r>
    </w:p>
    <w:p w:rsidR="019D161C" w:rsidP="58EA9849" w:rsidRDefault="019D161C" w14:paraId="4A962156" w14:textId="09162F3C">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Current Global Situation:</w:t>
      </w:r>
    </w:p>
    <w:p w:rsidR="019D161C" w:rsidP="58EA9849" w:rsidRDefault="019D161C" w14:paraId="2CE633F4" w14:textId="172D6FA7">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 global education landscape reveals persistent disparities across multiple dimensions, creating complex patterns of exclusion and inequality. Geographic disparities remain particularly stark, with Sub-Saharan Africa reporting primary school completion rates of only 64% compared to over 95% in high-income regions. Rural-urban divides further compound these disparities, with rural children often having access to fewer resources and less qualified teachers.</w:t>
      </w:r>
    </w:p>
    <w:p w:rsidR="019D161C" w:rsidP="58EA9849" w:rsidRDefault="019D161C" w14:paraId="6E448EC3" w14:textId="7FA02935">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Economic barriers present significant challenges to universal access. In many countries, despite nominally free public education, hidden costs like uniforms, books, and transportation remain prohibitive for low-income families. Higher education costs create additional barriers to educational advancement, particularly in contexts without robust scholarship systems or affordable student loans.</w:t>
      </w:r>
    </w:p>
    <w:p w:rsidR="019D161C" w:rsidP="58EA9849" w:rsidRDefault="019D161C" w14:paraId="7DA35C76" w14:textId="11D26AE9">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Social inequalities compound these economic challenges. Gender gaps in educational access persist, particularly at secondary and tertiary levels in certain regions. Persons with disabilities face additional barriers to meaningful educational participation, often lacking appropriate accommodations or specialized support. Ethnic minorities and indigenous populations frequently encounter educational systems that fail to accommodate linguistic diversity or cultural contexts.</w:t>
      </w:r>
    </w:p>
    <w:p w:rsidR="019D161C" w:rsidP="58EA9849" w:rsidRDefault="019D161C" w14:paraId="78491C8A" w14:textId="59426C69">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quality varies dramatically across and within countries. Teacher shortages and inadequate training undermine educational effectiveness in many contexts, with an estimated global shortage of 69 million teachers. Infrastructure deficiencies, from inadequate buildings to limited learning materials, further compromise educational quality and outcomes.</w:t>
      </w:r>
    </w:p>
    <w:p w:rsidR="019D161C" w:rsidP="58EA9849" w:rsidRDefault="019D161C" w14:paraId="6B529E25" w14:textId="7575B0EE">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Critical Challenges:</w:t>
      </w:r>
    </w:p>
    <w:p w:rsidR="019D161C" w:rsidP="58EA9849" w:rsidRDefault="019D161C" w14:paraId="7B234C34" w14:textId="3DED3824">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Infrastructure development remains fundamental to ensuring universal educational access, particularly in developing nations and rural areas. The challenge of providing adequate school facilities in remote regions requires innovative solutions and significant investment. Distance to schools creates safety concerns, especially for girls in certain cultural contexts, while inadequate facilities for students with disabilities limit meaningful inclusion.</w:t>
      </w:r>
    </w:p>
    <w:p w:rsidR="019D161C" w:rsidP="58EA9849" w:rsidRDefault="019D161C" w14:paraId="0AF98162" w14:textId="5DB4073E">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Economic accessibility poses ongoing challenges through direct and indirect educational costs. Even when tuition is officially free, associated expenses create significant barriers for low-income families. Limited social protection mechanisms often force educational trade-offs within households, with girls and children with disabilities frequently receiving lower priority. Educational financing models that rely heavily on local tax bases perpetuate inequalities between wealthy and poor districts.</w:t>
      </w:r>
    </w:p>
    <w:p w:rsidR="019D161C" w:rsidP="58EA9849" w:rsidRDefault="019D161C" w14:paraId="4C3AEEB9" w14:textId="33513BF0">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Quality considerations require significant attention, especially in educational systems lacking comprehensive teacher development programs. The challenge extends beyond basic infrastructure to include appropriate curriculum design, teaching methodologies, and assessment systems. Digital divides further exacerbate quality disparities, with many schools lacking essential technological resources.</w:t>
      </w:r>
    </w:p>
    <w:p w:rsidR="019D161C" w:rsidP="58EA9849" w:rsidRDefault="019D161C" w14:paraId="15CC0277" w14:textId="3BF206C3">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Governance and coordination challenges impede progress toward educational goals. Fragmentation of educational initiatives across multiple agencies creates inefficiencies and gaps in service delivery. Weak accountability mechanisms limit the effectiveness of educational investments, while political instability in certain regions disrupts educational progress and planning.</w:t>
      </w:r>
    </w:p>
    <w:p w:rsidR="019D161C" w:rsidP="58EA9849" w:rsidRDefault="019D161C" w14:paraId="64BF3F81" w14:textId="13AD2002">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International Response Mechanisms:</w:t>
      </w:r>
    </w:p>
    <w:p w:rsidR="019D161C" w:rsidP="58EA9849" w:rsidRDefault="019D161C" w14:paraId="3635AADE" w14:textId="4CC07B70">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The global community has developed various approaches to address educational access challenges. Public-private partnerships have emerged as a crucial mechanism for expanding educational opportunities, with initiatives like the Global Partnership for Education exemplifying this approach by bringing together government resources and private sector expertise. These partnerships leverage additional resources while maintaining public oversight and social responsibility.</w:t>
      </w:r>
    </w:p>
    <w:p w:rsidR="019D161C" w:rsidP="58EA9849" w:rsidRDefault="019D161C" w14:paraId="6E4C0CDB" w14:textId="4C8F706F">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Regional programs have demonstrated significant promise in advancing educational access. The European Union's Erasmus+ program establishes comprehensive frameworks for educational mobility and capacity building, setting standards that influence global practice. The Association for the Development of Education in Africa (ADEA) presents a continental approach to educational development, focusing on policy dialogue, knowledge exchange, and advocacy for increased investment in education.</w:t>
      </w:r>
    </w:p>
    <w:p w:rsidR="019D161C" w:rsidP="58EA9849" w:rsidRDefault="019D161C" w14:paraId="45D94804" w14:textId="576AFF4D">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International organizations continue to drive progress through targeted initiatives. UNESCO's educational quality initiatives provide essential technical expertise and policy guidance for expanding effective learning in challenging environments. UNICEF's Education in Emergencies programs specifically target educational continuity during humanitarian crises, while the World Bank's financing mechanisms support systemic educational reforms in developing countries.</w:t>
      </w:r>
    </w:p>
    <w:p w:rsidR="019D161C" w:rsidP="58EA9849" w:rsidRDefault="019D161C" w14:paraId="54CF3BA7" w14:textId="70E10FBD">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Recommended Solutions:</w:t>
      </w:r>
    </w:p>
    <w:p w:rsidR="019D161C" w:rsidP="58EA9849" w:rsidRDefault="019D161C" w14:paraId="76F938DE" w14:textId="2BB7CC48">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A comprehensive policy framework must underpin efforts to strengthen global educational access. This begins with explicit reaffirmation of education as a fundamental right within national constitutions and international law. Equity-focused policies should prioritize support for marginalized populations, including targeted resource allocation to underserved areas and groups. Cross-sectoral coordination mechanisms must align educational initiatives with health, social protection, and economic development efforts.</w:t>
      </w:r>
    </w:p>
    <w:p w:rsidR="019D161C" w:rsidP="58EA9849" w:rsidRDefault="019D161C" w14:paraId="626AD4D2" w14:textId="34F4FAC6">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Infrastructure development requires sustained, coordinated effort across stakeholders. International infrastructure funding mechanisms should prioritize regions where local resources prove insufficient. Innovative educational delivery models, including community schools and mobile education units, deserve support through policy and funding initiatives. The integration of digital infrastructure with educational systems requires particular attention, especially in regions with limited technological access.</w:t>
      </w:r>
    </w:p>
    <w:p w:rsidR="019D161C" w:rsidP="58EA9849" w:rsidRDefault="019D161C" w14:paraId="2174E010" w14:textId="7592947A">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inclusion demands a nuanced approach to social and cultural dimensions of access. Comprehensive teacher training programs must include inclusive education principles and methodologies. Gender-responsive education policies should address specific barriers affecting girls' participation, including safety concerns and early marriage. The development of culturally responsive and multilingual education programs must be prioritized to ensure relevance for diverse populations.</w:t>
      </w:r>
    </w:p>
    <w:p w:rsidR="019D161C" w:rsidP="58EA9849" w:rsidRDefault="019D161C" w14:paraId="3FA76EE6" w14:textId="193DA9BC">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Financial mechanisms play an essential role in achieving universal educational access. Dedicated international education funds should operate with clear governance structures and accountability mechanisms. Sustainable funding models must support both initial infrastructure development and ongoing educational quality improvements. Innovative financing approaches, including results-based funding and impact bonds, offer promising alternatives to traditional aid models.</w:t>
      </w:r>
    </w:p>
    <w:p w:rsidR="019D161C" w:rsidP="58EA9849" w:rsidRDefault="019D161C" w14:paraId="5D54C3A5" w14:textId="2608B814">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Useful Resources:</w:t>
      </w:r>
    </w:p>
    <w:p w:rsidR="019D161C" w:rsidP="58EA9849" w:rsidRDefault="019D161C" w14:paraId="33A10FB8" w14:textId="1A93E32F">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UNESCO Global Education Monitoring Report: </w:t>
      </w:r>
      <w:hyperlink r:id="R3dbe4ba0eed34ed2">
        <w:r w:rsidRPr="58EA9849" w:rsidR="019D161C">
          <w:rPr>
            <w:rStyle w:val="Hyperlink"/>
            <w:rFonts w:ascii="Times New Roman" w:hAnsi="Times New Roman" w:eastAsia="Times New Roman" w:cs="Times New Roman"/>
            <w:noProof w:val="0"/>
            <w:sz w:val="26"/>
            <w:szCs w:val="26"/>
            <w:lang w:val="en-US"/>
          </w:rPr>
          <w:t>https://en.unesco.org/gem-report/</w:t>
        </w:r>
      </w:hyperlink>
    </w:p>
    <w:p w:rsidR="019D161C" w:rsidP="58EA9849" w:rsidRDefault="019D161C" w14:paraId="1786F66E" w14:textId="2363887D">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Global Partnership for Education: </w:t>
      </w:r>
      <w:hyperlink r:id="R75d56cb5386c4862">
        <w:r w:rsidRPr="58EA9849" w:rsidR="019D161C">
          <w:rPr>
            <w:rStyle w:val="Hyperlink"/>
            <w:rFonts w:ascii="Times New Roman" w:hAnsi="Times New Roman" w:eastAsia="Times New Roman" w:cs="Times New Roman"/>
            <w:noProof w:val="0"/>
            <w:sz w:val="26"/>
            <w:szCs w:val="26"/>
            <w:lang w:val="en-US"/>
          </w:rPr>
          <w:t>https://www.globalpartnership.org</w:t>
        </w:r>
      </w:hyperlink>
    </w:p>
    <w:p w:rsidR="019D161C" w:rsidP="58EA9849" w:rsidRDefault="019D161C" w14:paraId="1F150D63" w14:textId="5C7E27EE">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World Bank Education Global Practice: </w:t>
      </w:r>
      <w:hyperlink r:id="R2d049b2cc8fd4980">
        <w:r w:rsidRPr="58EA9849" w:rsidR="019D161C">
          <w:rPr>
            <w:rStyle w:val="Hyperlink"/>
            <w:rFonts w:ascii="Times New Roman" w:hAnsi="Times New Roman" w:eastAsia="Times New Roman" w:cs="Times New Roman"/>
            <w:noProof w:val="0"/>
            <w:sz w:val="26"/>
            <w:szCs w:val="26"/>
            <w:lang w:val="en-US"/>
          </w:rPr>
          <w:t>https://www.worldbank.org/en/topic/education</w:t>
        </w:r>
      </w:hyperlink>
    </w:p>
    <w:p w:rsidR="019D161C" w:rsidP="58EA9849" w:rsidRDefault="019D161C" w14:paraId="31C4B882" w14:textId="68B4C036">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UNICEF Education Programs: </w:t>
      </w:r>
      <w:hyperlink r:id="R71d9b0bd9b234bd2">
        <w:r w:rsidRPr="58EA9849" w:rsidR="019D161C">
          <w:rPr>
            <w:rStyle w:val="Hyperlink"/>
            <w:rFonts w:ascii="Times New Roman" w:hAnsi="Times New Roman" w:eastAsia="Times New Roman" w:cs="Times New Roman"/>
            <w:noProof w:val="0"/>
            <w:sz w:val="26"/>
            <w:szCs w:val="26"/>
            <w:lang w:val="en-US"/>
          </w:rPr>
          <w:t>https://www.unicef.org/education</w:t>
        </w:r>
      </w:hyperlink>
    </w:p>
    <w:p w:rsidR="019D161C" w:rsidP="58EA9849" w:rsidRDefault="019D161C" w14:paraId="17BECF08" w14:textId="1C12D9C8">
      <w:pPr>
        <w:pStyle w:val="ListParagraph"/>
        <w:numPr>
          <w:ilvl w:val="0"/>
          <w:numId w:val="2"/>
        </w:numPr>
        <w:spacing w:before="0" w:beforeAutospacing="off" w:after="0" w:afterAutospacing="off"/>
        <w:rPr>
          <w:rFonts w:ascii="Times New Roman" w:hAnsi="Times New Roman" w:eastAsia="Times New Roman" w:cs="Times New Roman"/>
          <w:noProof w:val="0"/>
          <w:sz w:val="26"/>
          <w:szCs w:val="26"/>
          <w:lang w:val="en-US"/>
        </w:rPr>
      </w:pPr>
      <w:r w:rsidRPr="58EA9849" w:rsidR="019D161C">
        <w:rPr>
          <w:rFonts w:ascii="Times New Roman" w:hAnsi="Times New Roman" w:eastAsia="Times New Roman" w:cs="Times New Roman"/>
          <w:noProof w:val="0"/>
          <w:sz w:val="26"/>
          <w:szCs w:val="26"/>
          <w:lang w:val="en-US"/>
        </w:rPr>
        <w:t xml:space="preserve">Inter-Agency Network for Education in Emergencies: </w:t>
      </w:r>
      <w:hyperlink r:id="R1343740ab9234c03">
        <w:r w:rsidRPr="58EA9849" w:rsidR="019D161C">
          <w:rPr>
            <w:rStyle w:val="Hyperlink"/>
            <w:rFonts w:ascii="Times New Roman" w:hAnsi="Times New Roman" w:eastAsia="Times New Roman" w:cs="Times New Roman"/>
            <w:noProof w:val="0"/>
            <w:sz w:val="26"/>
            <w:szCs w:val="26"/>
            <w:lang w:val="en-US"/>
          </w:rPr>
          <w:t>https://inee.org</w:t>
        </w:r>
      </w:hyperlink>
    </w:p>
    <w:p w:rsidR="019D161C" w:rsidP="58EA9849" w:rsidRDefault="019D161C" w14:paraId="5D414B81" w14:textId="77AD784A">
      <w:pPr>
        <w:pStyle w:val="Heading3"/>
        <w:spacing w:before="281" w:beforeAutospacing="off" w:after="281" w:afterAutospacing="off"/>
        <w:rPr>
          <w:rFonts w:ascii="Times New Roman" w:hAnsi="Times New Roman" w:eastAsia="Times New Roman" w:cs="Times New Roman"/>
          <w:b w:val="1"/>
          <w:bCs w:val="1"/>
          <w:noProof w:val="0"/>
          <w:color w:val="auto"/>
          <w:sz w:val="28"/>
          <w:szCs w:val="28"/>
          <w:lang w:val="en-US"/>
        </w:rPr>
      </w:pPr>
      <w:r w:rsidRPr="58EA9849" w:rsidR="019D161C">
        <w:rPr>
          <w:rFonts w:ascii="Times New Roman" w:hAnsi="Times New Roman" w:eastAsia="Times New Roman" w:cs="Times New Roman"/>
          <w:b w:val="1"/>
          <w:bCs w:val="1"/>
          <w:noProof w:val="0"/>
          <w:color w:val="auto"/>
          <w:sz w:val="28"/>
          <w:szCs w:val="28"/>
          <w:lang w:val="en-US"/>
        </w:rPr>
        <w:t>Conclusion:</w:t>
      </w:r>
    </w:p>
    <w:p w:rsidR="019D161C" w:rsidP="58EA9849" w:rsidRDefault="019D161C" w14:paraId="3A41F850" w14:textId="41E96696">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Strengthening global access to education requires sustained, coordinated action across multiple stakeholders and sectors. While the challenge is substantial, the cost of inaction -- in terms of human development, economic opportunity, and social equity -- far outweighs the investment required. Success demands a holistic approach that simultaneously addresses infrastructure, affordability, quality, and governance frameworks.</w:t>
      </w:r>
    </w:p>
    <w:p w:rsidR="019D161C" w:rsidP="58EA9849" w:rsidRDefault="019D161C" w14:paraId="74CF2C72" w14:textId="1687089D">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As societies continue to evolve and face new challenges, the imperative to ensure universal educational access grows stronger. The international community must work together to develop innovative solutions, share resources and expertise, and maintain a commitment to leaving no one behind in educational development. The path forward requires both immediate action to address current disparities and long-term planning to ensure sustainable, inclusive educational systems for future generations.</w:t>
      </w:r>
    </w:p>
    <w:p w:rsidR="019D161C" w:rsidP="58EA9849" w:rsidRDefault="019D161C" w14:paraId="31BDB7F9" w14:textId="0B0273B7">
      <w:pPr>
        <w:spacing w:before="240" w:beforeAutospacing="off" w:after="240" w:afterAutospacing="off"/>
      </w:pPr>
      <w:r w:rsidRPr="58EA9849" w:rsidR="019D161C">
        <w:rPr>
          <w:rFonts w:ascii="Times New Roman" w:hAnsi="Times New Roman" w:eastAsia="Times New Roman" w:cs="Times New Roman"/>
          <w:noProof w:val="0"/>
          <w:sz w:val="26"/>
          <w:szCs w:val="26"/>
          <w:lang w:val="en-US"/>
        </w:rPr>
        <w:t>Educational access is not merely a technical challenge but a profound moral imperative that underpins sustainable development, social justice, and human dignity. By working collectively to overcome the barriers that prevent millions from realizing their educational potential, the global community can build more prosperous, peaceful, and equitable societies for all.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367925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500636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5E01"/>
    <w:rsid w:val="019D161C"/>
    <w:rsid w:val="06E90291"/>
    <w:rsid w:val="264F5E01"/>
    <w:rsid w:val="291EDBF4"/>
    <w:rsid w:val="41E295C2"/>
    <w:rsid w:val="58EA9849"/>
    <w:rsid w:val="6D213D70"/>
    <w:rsid w:val="72D3D883"/>
    <w:rsid w:val="73DDC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5E01"/>
  <w15:chartTrackingRefBased/>
  <w15:docId w15:val="{16CF0B1B-6A7F-4C61-AE15-D0E2E1E8D1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378b2980e7ce415c" Type="http://schemas.openxmlformats.org/officeDocument/2006/relationships/numbering" Target="numbering.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2d049b2cc8fd4980" Type="http://schemas.openxmlformats.org/officeDocument/2006/relationships/hyperlink" Target="https://www.worldbank.org/en/topic/education" TargetMode="External"/><Relationship Id="rId1" Type="http://schemas.openxmlformats.org/officeDocument/2006/relationships/styles" Target="styles.xml"/><Relationship Id="R1343740ab9234c03" Type="http://schemas.openxmlformats.org/officeDocument/2006/relationships/hyperlink" Target="https://inee.org/" TargetMode="External"/><Relationship Id="rId6" Type="http://schemas.openxmlformats.org/officeDocument/2006/relationships/customXml" Target="../customXml/item1.xml"/><Relationship Id="rId5" Type="http://schemas.openxmlformats.org/officeDocument/2006/relationships/theme" Target="theme/theme1.xml"/><Relationship Id="R75d56cb5386c4862" Type="http://schemas.openxmlformats.org/officeDocument/2006/relationships/hyperlink" Target="https://www.globalpartnership.org/" TargetMode="External"/><Relationship Id="rId4" Type="http://schemas.openxmlformats.org/officeDocument/2006/relationships/fontTable" Target="fontTable.xml"/><Relationship Id="R3dbe4ba0eed34ed2" Type="http://schemas.openxmlformats.org/officeDocument/2006/relationships/hyperlink" Target="https://en.unesco.org/gem-report/" TargetMode="External"/><Relationship Id="R71d9b0bd9b234bd2" Type="http://schemas.openxmlformats.org/officeDocument/2006/relationships/hyperlink" Target="https://www.unicef.org/education"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0C472-C1FC-4E3C-AD96-E36B61FE698B}"/>
</file>

<file path=customXml/itemProps2.xml><?xml version="1.0" encoding="utf-8"?>
<ds:datastoreItem xmlns:ds="http://schemas.openxmlformats.org/officeDocument/2006/customXml" ds:itemID="{DFFA9F81-34FE-44C2-A464-D8CDC8419CBC}"/>
</file>

<file path=customXml/itemProps3.xml><?xml version="1.0" encoding="utf-8"?>
<ds:datastoreItem xmlns:ds="http://schemas.openxmlformats.org/officeDocument/2006/customXml" ds:itemID="{0EC5506C-87CD-45FB-9744-C0A4441866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Ravjoth Brar (rbrar208713 - 11M1)</dc:creator>
  <cp:keywords/>
  <dc:description/>
  <cp:lastModifiedBy>Ravjoth Brar (rbrar208713 - 11M1)</cp:lastModifiedBy>
  <dcterms:created xsi:type="dcterms:W3CDTF">2024-11-27T18:34:42Z</dcterms:created>
  <dcterms:modified xsi:type="dcterms:W3CDTF">2025-03-10T18:35:05Z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